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0AA1" w14:textId="77777777" w:rsidR="00A45674" w:rsidRDefault="00000000">
      <w:pPr>
        <w:jc w:val="center"/>
      </w:pPr>
      <w:r>
        <w:rPr>
          <w:b/>
          <w:sz w:val="32"/>
        </w:rPr>
        <w:t>NCTCOG 2024 IMC Safety Essentials — Printable Checklist (Short)</w:t>
      </w:r>
    </w:p>
    <w:p w14:paraId="15EB9F54" w14:textId="77777777" w:rsidR="00A45674" w:rsidRDefault="00000000">
      <w:r>
        <w:rPr>
          <w:i/>
        </w:rPr>
        <w:t>Reminder: These are NCTCOG Recommended Regional Amendments. They only become mandatory if your city adopts them. Always verify local adoption before bidding or building.</w:t>
      </w:r>
    </w:p>
    <w:p w14:paraId="0B4C0F05" w14:textId="77777777" w:rsidR="00A45674" w:rsidRDefault="00000000">
      <w:r>
        <w:rPr>
          <w:b/>
        </w:rPr>
        <w:t>0) Adoption check (do this first)</w:t>
      </w:r>
    </w:p>
    <w:p w14:paraId="7FE8DA73" w14:textId="77777777" w:rsidR="00A45674" w:rsidRDefault="00000000">
      <w:r>
        <w:t>☐ Confirm: Has my city adopted 2024 IMC? Has it adopted the NCTCOG 2024 amendments?</w:t>
      </w:r>
    </w:p>
    <w:p w14:paraId="2311715A" w14:textId="77777777" w:rsidR="00A45674" w:rsidRDefault="00000000">
      <w:r>
        <w:t>☐ Put a “Codes &amp; Standards Matrix” on the cover sheet (list the adopted editions + dates).</w:t>
      </w:r>
    </w:p>
    <w:p w14:paraId="6F366209" w14:textId="77777777" w:rsidR="00A45674" w:rsidRDefault="00000000">
      <w:r>
        <w:t>☐ Note in proposal/contract: “Work to the locally adopted code versions.”</w:t>
      </w:r>
    </w:p>
    <w:p w14:paraId="145BD308" w14:textId="77777777" w:rsidR="00A45674" w:rsidRDefault="00000000">
      <w:r>
        <w:rPr>
          <w:b/>
        </w:rPr>
        <w:t>1) Attic access (IMC §306.3)</w:t>
      </w:r>
    </w:p>
    <w:p w14:paraId="21BB92C7" w14:textId="77777777" w:rsidR="00A45674" w:rsidRDefault="00000000">
      <w:r>
        <w:t>☐ Clear path to remove the largest appliance; opening ≥ 20×30 in.</w:t>
      </w:r>
    </w:p>
    <w:p w14:paraId="33FAB0F7" w14:textId="77777777" w:rsidR="00A45674" w:rsidRDefault="00000000">
      <w:r>
        <w:t>☐ Passage: height ≥ 30 in, width ≥ 22 in, ≤ 20 ft long (or ≤ 50 ft if the whole path is 6 ft high and 22 in wide).</w:t>
      </w:r>
    </w:p>
    <w:p w14:paraId="3363B0F3" w14:textId="77777777" w:rsidR="00A45674" w:rsidRDefault="00000000">
      <w:r>
        <w:t>☐ Continuous floor along the path ≥ 24 in wide.</w:t>
      </w:r>
    </w:p>
    <w:p w14:paraId="12881D1E" w14:textId="77777777" w:rsidR="00A45674" w:rsidRDefault="00000000">
      <w:r>
        <w:t>☐ Level service space in front of unit ≥ 30×30 in.</w:t>
      </w:r>
    </w:p>
    <w:p w14:paraId="0AD1BC47" w14:textId="77777777" w:rsidR="00A45674" w:rsidRDefault="00000000">
      <w:r>
        <w:t>☐ One of: fixed stair / 300‑lb pull‑down ladder / door from an upper floor.</w:t>
      </w:r>
    </w:p>
    <w:p w14:paraId="2B30A1FF" w14:textId="77777777" w:rsidR="00A45674" w:rsidRDefault="00000000">
      <w:r>
        <w:rPr>
          <w:b/>
        </w:rPr>
        <w:t>2) Sloped roof service &amp; fall protection (IMC §306.5.1)</w:t>
      </w:r>
    </w:p>
    <w:p w14:paraId="03C381F1" w14:textId="77777777" w:rsidR="00A45674" w:rsidRDefault="00000000">
      <w:r>
        <w:t>☐ If roof slope ≥ 3:12 and edge &gt; 30 in above grade: provide 16‑in catwalk with cleats ≤ 16 in apart.</w:t>
      </w:r>
    </w:p>
    <w:p w14:paraId="7E5CA6E8" w14:textId="77777777" w:rsidR="00A45674" w:rsidRDefault="00000000">
      <w:r>
        <w:t>☐ Level platform at unit on the service side; platform ≥ 30 in.</w:t>
      </w:r>
    </w:p>
    <w:p w14:paraId="437C0080" w14:textId="77777777" w:rsidR="00A45674" w:rsidRDefault="00000000">
      <w:r>
        <w:t>☐ Guards around platform: height ≥ 42 in and block a 21‑in sphere (meet IBC loads).</w:t>
      </w:r>
    </w:p>
    <w:p w14:paraId="072C0FD6" w14:textId="77777777" w:rsidR="00A45674" w:rsidRDefault="00000000">
      <w:r>
        <w:rPr>
          <w:b/>
        </w:rPr>
        <w:t>3) Exhaust discharge (IMC §501.3) — use exceptions carefully</w:t>
      </w:r>
    </w:p>
    <w:p w14:paraId="40683658" w14:textId="77777777" w:rsidR="00A45674" w:rsidRDefault="00000000">
      <w:r>
        <w:t>☐ Rule: Exhaust to outdoors. Do not exhaust into attics, crawl spaces, or onto walkways.</w:t>
      </w:r>
    </w:p>
    <w:p w14:paraId="78F9B13F" w14:textId="77777777" w:rsidR="00A45674" w:rsidRDefault="00000000">
      <w:r>
        <w:t>☐ Local exceptions allowed when conditions are met:</w:t>
      </w:r>
    </w:p>
    <w:p w14:paraId="1E11B194" w14:textId="77777777" w:rsidR="00A45674" w:rsidRDefault="00000000">
      <w:r>
        <w:t>☐ • Whole‑house attic fans into a private attic (dwelling)</w:t>
      </w:r>
    </w:p>
    <w:p w14:paraId="27D63FA0" w14:textId="77777777" w:rsidR="00A45674" w:rsidRDefault="00000000">
      <w:r>
        <w:t>☐ • Listed ductless domestic range hoods (and you still meet Chapter 4 ventilation)</w:t>
      </w:r>
    </w:p>
    <w:p w14:paraId="6153B431" w14:textId="77777777" w:rsidR="00A45674" w:rsidRDefault="00000000">
      <w:r>
        <w:t>☐ • Toilet exhaust may end in a warehouse/shop if outdoor‑air infiltration is present</w:t>
      </w:r>
    </w:p>
    <w:p w14:paraId="6334982F" w14:textId="77777777" w:rsidR="00A45674" w:rsidRDefault="00000000">
      <w:r>
        <w:t>☐ If using an exception, state the condition in your notes (e.g., dock doors = infiltration).</w:t>
      </w:r>
    </w:p>
    <w:p w14:paraId="73BF41DA" w14:textId="77777777" w:rsidR="00A45674" w:rsidRDefault="00000000">
      <w:r>
        <w:rPr>
          <w:b/>
        </w:rPr>
        <w:t>4) A2L used indoors (high‑probability) (IMC §1104.3.1.1 → ASHRAE 15 §7.6)</w:t>
      </w:r>
    </w:p>
    <w:p w14:paraId="0B4E2EED" w14:textId="77777777" w:rsidR="00A45674" w:rsidRDefault="00000000">
      <w:r>
        <w:t>☐ Do the room volume / refrigerant charge check (EDVC/RCL).</w:t>
      </w:r>
    </w:p>
    <w:p w14:paraId="516AEEC6" w14:textId="77777777" w:rsidR="00A45674" w:rsidRDefault="00000000">
      <w:r>
        <w:lastRenderedPageBreak/>
        <w:t>☐ Use listed refrigerant detection systems/detectors; show model/standard.</w:t>
      </w:r>
    </w:p>
    <w:p w14:paraId="0E56F002" w14:textId="77777777" w:rsidR="00A45674" w:rsidRDefault="00000000">
      <w:r>
        <w:t>☐ Draw the interlocks: leak → fans on / valves closed / alarm.</w:t>
      </w:r>
    </w:p>
    <w:p w14:paraId="38423A8B" w14:textId="77777777" w:rsidR="00A45674" w:rsidRDefault="00000000">
      <w:r>
        <w:rPr>
          <w:b/>
        </w:rPr>
        <w:t>5) No machinery room path (IMC §1104.2 Exception → ASHRAE 15 §7.4)</w:t>
      </w:r>
    </w:p>
    <w:p w14:paraId="5FCCBAB7" w14:textId="77777777" w:rsidR="00A45674" w:rsidRDefault="00000000">
      <w:r>
        <w:t>☐ Use circuit zoning + automatic safety shut‑off valves (release‑mitigation).</w:t>
      </w:r>
    </w:p>
    <w:p w14:paraId="4C23DE9D" w14:textId="77777777" w:rsidR="00A45674" w:rsidRDefault="00000000">
      <w:r>
        <w:t>☐ Include valve zoning diagram and control sequence (VRF: branch selector / heat‑recovery boxes).</w:t>
      </w:r>
    </w:p>
    <w:p w14:paraId="1720089A" w14:textId="77777777" w:rsidR="00A45674" w:rsidRDefault="00000000">
      <w:r>
        <w:rPr>
          <w:b/>
        </w:rPr>
        <w:t>6) Small A1 charge — shaft exception (IMC §1109.2.5)</w:t>
      </w:r>
    </w:p>
    <w:p w14:paraId="42F6AE13" w14:textId="77777777" w:rsidR="00A45674" w:rsidRDefault="00000000">
      <w:r>
        <w:t>☐ Direct system, A1 refrigerant; charge in the smallest occupied room crossed by piping is ≤ Table 1103.1 limit.</w:t>
      </w:r>
    </w:p>
    <w:p w14:paraId="0C80D63D" w14:textId="77777777" w:rsidR="00A45674" w:rsidRDefault="00000000">
      <w:r>
        <w:t>☐ Even without a shaft, provide piping protection per §1109.2.2 (sleeves/protective construction).</w:t>
      </w:r>
    </w:p>
    <w:p w14:paraId="45A792A4" w14:textId="77777777" w:rsidR="00A45674" w:rsidRDefault="00000000">
      <w:r>
        <w:t>☐ Attach a one‑page charge vs. room size calc in your submittal.</w:t>
      </w:r>
    </w:p>
    <w:p w14:paraId="48B1650F" w14:textId="77777777" w:rsidR="00A45674" w:rsidRDefault="00000000">
      <w:r>
        <w:rPr>
          <w:b/>
        </w:rPr>
        <w:t>7) Referenced standards must match your city’s editions (IMC §102.8)</w:t>
      </w:r>
    </w:p>
    <w:p w14:paraId="587ED53A" w14:textId="77777777" w:rsidR="00A45674" w:rsidRDefault="00000000">
      <w:r>
        <w:t>☐ “NFPA 70” means your city’s adopted NEC edition.</w:t>
      </w:r>
    </w:p>
    <w:p w14:paraId="1A6E7B96" w14:textId="77777777" w:rsidR="003B0403" w:rsidRDefault="00000000">
      <w:pPr>
        <w:rPr>
          <w:rFonts w:eastAsia="SimSun"/>
          <w:lang w:eastAsia="zh-CN"/>
        </w:rPr>
      </w:pPr>
      <w:r>
        <w:rPr>
          <w:rFonts w:ascii="Segoe UI Symbol" w:hAnsi="Segoe UI Symbol" w:cs="Segoe UI Symbol"/>
        </w:rPr>
        <w:t>☐</w:t>
      </w:r>
      <w:r>
        <w:t xml:space="preserve"> If code text conflicts with a product’s listing/installation instructions, follow the listing and instructions (note it on plans).</w:t>
      </w:r>
    </w:p>
    <w:p w14:paraId="79E9BBD9" w14:textId="51112969" w:rsidR="00A45674" w:rsidRDefault="00000000">
      <w:r>
        <w:rPr>
          <w:b/>
        </w:rPr>
        <w:br/>
        <w:t>Where to find details (save these)</w:t>
      </w:r>
    </w:p>
    <w:p w14:paraId="16D88007" w14:textId="77777777" w:rsidR="00A45674" w:rsidRDefault="00000000">
      <w:r>
        <w:t>NCTCOG Amendments page (adoption status + downloads): https://www.nctcog.org/envir/regional-building-codes/amendments</w:t>
      </w:r>
    </w:p>
    <w:p w14:paraId="0AB43A54" w14:textId="77777777" w:rsidR="00A45674" w:rsidRDefault="00000000">
      <w:r>
        <w:t>2024 IMC — NCTCOG Final Recommended Regional Amendments (3 pages): https://www.nctcog.org/getmedia/4a7f3400-4e59-4e0c-8adf-5631a34dc471/2024-IMC-Amendments-Final_Approved.pdf</w:t>
      </w:r>
    </w:p>
    <w:p w14:paraId="3F2E5B51" w14:textId="77777777" w:rsidR="00A45674" w:rsidRDefault="00000000">
      <w:r>
        <w:t>A2L/IMC Alignment memo (why ASHRAE 15 §§7.4 &amp; 7.6 matter): https://www.nctcog.org/getmedia/e7f32d21-2c7c-4d67-9462-0eedced3c742/2025-Refrigerant-Transition-A2L-and-the-International-Mechanical-Code_01.pdf</w:t>
      </w:r>
    </w:p>
    <w:sectPr w:rsidR="00A45674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3897412">
    <w:abstractNumId w:val="8"/>
  </w:num>
  <w:num w:numId="2" w16cid:durableId="990326040">
    <w:abstractNumId w:val="6"/>
  </w:num>
  <w:num w:numId="3" w16cid:durableId="1852988261">
    <w:abstractNumId w:val="5"/>
  </w:num>
  <w:num w:numId="4" w16cid:durableId="1437364787">
    <w:abstractNumId w:val="4"/>
  </w:num>
  <w:num w:numId="5" w16cid:durableId="1032609202">
    <w:abstractNumId w:val="7"/>
  </w:num>
  <w:num w:numId="6" w16cid:durableId="755202394">
    <w:abstractNumId w:val="3"/>
  </w:num>
  <w:num w:numId="7" w16cid:durableId="2021810732">
    <w:abstractNumId w:val="2"/>
  </w:num>
  <w:num w:numId="8" w16cid:durableId="1352996556">
    <w:abstractNumId w:val="1"/>
  </w:num>
  <w:num w:numId="9" w16cid:durableId="87169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0403"/>
    <w:rsid w:val="00A00070"/>
    <w:rsid w:val="00A4567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4908BE"/>
  <w14:defaultImageDpi w14:val="300"/>
  <w15:docId w15:val="{75766FE7-FBAD-4CFF-B899-EE200687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Chen, Huajun</cp:lastModifiedBy>
  <cp:revision>2</cp:revision>
  <dcterms:created xsi:type="dcterms:W3CDTF">2013-12-23T23:15:00Z</dcterms:created>
  <dcterms:modified xsi:type="dcterms:W3CDTF">2025-09-15T20:04:00Z</dcterms:modified>
  <cp:category/>
</cp:coreProperties>
</file>